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CA0B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C0222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гель</w:t>
      </w:r>
    </w:p>
    <w:p w14:paraId="073A88AE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A22C5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Инструкция</w:t>
      </w:r>
    </w:p>
    <w:p w14:paraId="1334DC2D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гель для лечения</w:t>
      </w:r>
    </w:p>
    <w:p w14:paraId="6DEF6085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гнойно-воспалительных процессов на коже животных.</w:t>
      </w:r>
    </w:p>
    <w:p w14:paraId="005DE2C2" w14:textId="4AB2840C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>», Россия)</w:t>
      </w:r>
    </w:p>
    <w:p w14:paraId="55EB15B7" w14:textId="3D80958E" w:rsidR="00CC719A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08F63039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3B586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470D2E">
        <w:rPr>
          <w:rFonts w:ascii="Times New Roman" w:hAnsi="Times New Roman" w:cs="Times New Roman"/>
          <w:sz w:val="24"/>
          <w:szCs w:val="24"/>
        </w:rPr>
        <w:t xml:space="preserve"> РК-ВП-4-3547-18</w:t>
      </w:r>
    </w:p>
    <w:p w14:paraId="79376A7F" w14:textId="67A4A0B2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Группировочное наименование:</w:t>
      </w:r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фуразидин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>, прополис.</w:t>
      </w:r>
    </w:p>
    <w:p w14:paraId="5DFD95F4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7F9942F9" w14:textId="31B5AA0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Ranodez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) гель содержит в 1 мл в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качестве  действующих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– 25 мг,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растворимый – 1,0 мг, экстракт прополиса – 5 мг, в качестве вспомогательных компонентов: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целлосайз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, воду очищенную. По внешнему виду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гель представляет собой однородную гелеобразную массу от светло-желтого до желтого цвета. Препарат выпускают расфасованным по 20 мл в полимерные банки, герметично укупоренные крышками с контролем первого вскрытия, упакованные в картонные пачки в комплекте с инструкцией по применению.  </w:t>
      </w:r>
    </w:p>
    <w:p w14:paraId="35AB4A83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13FDFCA8" w14:textId="21488E76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Гель.</w:t>
      </w:r>
    </w:p>
    <w:p w14:paraId="11D28264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53E0E322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Противомикробные препараты для лечения заболеваний кожи.</w:t>
      </w:r>
    </w:p>
    <w:p w14:paraId="75768104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E406558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677CDA93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гель  -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препарат для наружного применения, оказывает противомикробное, противовоспалительное и ранозаживляющее действие на кожу животного.</w:t>
      </w:r>
    </w:p>
    <w:p w14:paraId="3BDA320A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растворимый является противомикробным средством группы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нитрофуранов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>, эффективен в отношении грамположительных (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.) и грамотрицательных (E.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.) бактерий. Механизм антимикробного действия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нитрофуранов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основан на блокировании клеточного дыхания. </w:t>
      </w:r>
    </w:p>
    <w:p w14:paraId="3CBE6E0B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относится к производным пиримидина, обладает анаболической и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антикатаболической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активностью, ускоряет процессы клеточной регенерации и заживления ран, стимулирует клеточные и гуморальные факторы защиты, оказывает противовоспалительное действие. </w:t>
      </w:r>
    </w:p>
    <w:p w14:paraId="7016CF25" w14:textId="778DF604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lastRenderedPageBreak/>
        <w:t>Экстракт прополиса оказывает выраженное бактерицидное (уничтожает широкий спектр микроорганизмов, вызывая деструкцию клеточной стенки бактерии) и бактериостатическое (подавляет их активность) действие, способствует заживлению ран, успокаивает кожу.</w:t>
      </w:r>
    </w:p>
    <w:p w14:paraId="3615BB0C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2391128C" w14:textId="1C23FDA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При наружном применении препарата его активные компоненты не накапливаются в органах и тканях животного. Препарат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негемолитичен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>; присутствие гноя, крови, сыворотки крови не снижает его бактериостатическую активность.</w:t>
      </w:r>
    </w:p>
    <w:p w14:paraId="6C1304A3" w14:textId="7448984A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гель по степени воздействия на организм относится к малоопасным веществам (4 класс опасности по ГОСТ 12.1.007-76). При нанесении на кожу не оказывает резорбтивно-токсического, кожно-раздражающего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и  сенсибилизирующего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действия.                                             </w:t>
      </w:r>
    </w:p>
    <w:p w14:paraId="30A5BF67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1AC9254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гель применяется для профилактики и лечения гнойно-воспалительных процессов кожи и мягких тканей бактериальной этиологии, а также для обработки операционного поля у собак, кошек, пушных зверей, декоративных грызунов и лошадей.</w:t>
      </w:r>
    </w:p>
    <w:p w14:paraId="34769E65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Препарат высокоэффективен при лечении ран травматического (порезы, укусы, ссадины, царапины и т.д.) и хирургического (после кастрации, купирования хвоста или ушей, наложения швов и т.д.) происхождения, ожогах, пролежнях, обморожениях, трофических язвах и других плохо заживающих повреждениях кожи.</w:t>
      </w:r>
    </w:p>
    <w:p w14:paraId="4261C2BB" w14:textId="20074A9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55D787B" w14:textId="52C5587F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Перед применением препарата выстригают шерсть, рану очищают от загрязнений (корок, струпьев и т.д.) и промывают антисептическими растворами. Затем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гель наносят тонким слоем на пораженный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участок  равномерно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распределяя от периферии к центру, с захватом пограничной здоровой кожи до 1 см. На открытые раны накладывают марлевые салфетки с нанесенным на них гелем и фиксируют бинтом. Препарат применяют 1-2 раза в сутки до полного клинического выздоровления, но не более 20 дней. </w:t>
      </w:r>
    </w:p>
    <w:p w14:paraId="6612F56D" w14:textId="77E0F193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D2E">
        <w:rPr>
          <w:rFonts w:ascii="Times New Roman" w:hAnsi="Times New Roman" w:cs="Times New Roman"/>
          <w:sz w:val="24"/>
          <w:szCs w:val="24"/>
        </w:rPr>
        <w:t>Не  следует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допускать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препарата животным и попадания его в глаза!  </w:t>
      </w:r>
    </w:p>
    <w:p w14:paraId="25623D52" w14:textId="38F94469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При пропуске одного или нескольких раз нанесения препарата, его применение возобновляют по той же схеме.</w:t>
      </w:r>
    </w:p>
    <w:p w14:paraId="7E433784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1FADA00A" w14:textId="0BA094C2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настоящей инструкцией побочных явлений и осложнений, как правило, не наблюдается. При индивидуальной непереносимости компонентов препарата и проявлении аллергических реакций его применение следует прекратить и провести симптоматическую терапию антигистаминными средствами.</w:t>
      </w:r>
    </w:p>
    <w:p w14:paraId="62E1591A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56FF911C" w14:textId="2A778FCC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 (в том числе в анамнезе).</w:t>
      </w:r>
    </w:p>
    <w:p w14:paraId="256ECB72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267F99F3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0841C856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F428A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lastRenderedPageBreak/>
        <w:t>Применение при беременности и в период лактации</w:t>
      </w:r>
    </w:p>
    <w:p w14:paraId="6A09BBC4" w14:textId="47D45D3A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Осуществляется только под наблюдением ветеринарного врача.</w:t>
      </w:r>
    </w:p>
    <w:p w14:paraId="12752F8A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7D177993" w14:textId="33A5FD2F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Применение препарата не исключает использования других этиотропных и патогенетических лекарственных препаратов.</w:t>
      </w:r>
    </w:p>
    <w:p w14:paraId="089FF018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7ACA8D93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Препарат не следует применять одновременно с другими аналогичного назначения лекарственными препаратами для наружного применения.</w:t>
      </w:r>
    </w:p>
    <w:p w14:paraId="47A63DD5" w14:textId="77777777" w:rsidR="00470D2E" w:rsidRPr="00470D2E" w:rsidRDefault="00470D2E" w:rsidP="0047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  <w:bookmarkStart w:id="0" w:name="_GoBack"/>
      <w:bookmarkEnd w:id="0"/>
    </w:p>
    <w:p w14:paraId="1F8D275D" w14:textId="01EEB9B0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средствами.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препарата следует избегать прямого контакта с ним. В случае появления аллергических реакций или признаков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отравления  необходимо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обратиться в медицинское учреждение. При случайном контакте лекарственного препарата со слизистыми оболочками глаз, их необходимо промыть большим количеством проточной воды. Пустые флаконы из-под препарата помещают в полиэтиленовый пакет и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флаконы. Применять препарат только по назначению.</w:t>
      </w:r>
    </w:p>
    <w:p w14:paraId="052BD2E9" w14:textId="77777777" w:rsidR="00470D2E" w:rsidRPr="00470D2E" w:rsidRDefault="00470D2E" w:rsidP="00470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2E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7D46E9FD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25°С. Срок годности при соблюдении условий хранения – 24 месяца от даты производства. Дата производства указана на упаковке. Запрещается использовать препарат по истечении срока годности. </w:t>
      </w:r>
    </w:p>
    <w:p w14:paraId="248B9BB4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1AE1078F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45EBB125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7BB1E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>», РФ</w:t>
      </w:r>
    </w:p>
    <w:p w14:paraId="23D27692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>7 (495) 607-67-81.</w:t>
      </w:r>
    </w:p>
    <w:p w14:paraId="5C1B7E80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Адрес производства: РФ,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143985,  Московская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обл., г. Балашиха,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25D0EEEF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B1905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BB89F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68380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FBA3D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89001" w14:textId="77777777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24BC8" w14:textId="305921AC" w:rsidR="00470D2E" w:rsidRPr="00470D2E" w:rsidRDefault="00470D2E" w:rsidP="00470D2E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www.agrobioprom.com</w:t>
      </w:r>
    </w:p>
    <w:sectPr w:rsidR="00470D2E" w:rsidRPr="0047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6E"/>
    <w:rsid w:val="00470D2E"/>
    <w:rsid w:val="00AC246E"/>
    <w:rsid w:val="00C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A06"/>
  <w15:chartTrackingRefBased/>
  <w15:docId w15:val="{7516FDBA-7524-41E1-9A6E-3090066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2020-03-06T09:48:00Z</dcterms:created>
  <dcterms:modified xsi:type="dcterms:W3CDTF">2020-03-06T09:51:00Z</dcterms:modified>
</cp:coreProperties>
</file>