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BE" w:rsidRPr="005037BE" w:rsidRDefault="005037BE" w:rsidP="005037BE">
      <w:pPr>
        <w:jc w:val="center"/>
        <w:rPr>
          <w:b/>
        </w:rPr>
      </w:pPr>
      <w:r w:rsidRPr="005037BE">
        <w:rPr>
          <w:b/>
        </w:rPr>
        <w:t>НЕФРОАНТИТОКС</w:t>
      </w:r>
    </w:p>
    <w:p w:rsidR="005037BE" w:rsidRDefault="005037BE" w:rsidP="005037BE">
      <w:pPr>
        <w:jc w:val="center"/>
      </w:pPr>
      <w:r>
        <w:t>Инструкция</w:t>
      </w:r>
    </w:p>
    <w:p w:rsidR="005037BE" w:rsidRDefault="005037BE" w:rsidP="005037BE">
      <w:pPr>
        <w:jc w:val="center"/>
      </w:pPr>
      <w:r>
        <w:t>по ветеринарному применению лекарственного препарата</w:t>
      </w:r>
    </w:p>
    <w:p w:rsidR="005037BE" w:rsidRDefault="005037BE" w:rsidP="005037BE">
      <w:pPr>
        <w:jc w:val="center"/>
      </w:pPr>
      <w:r>
        <w:t>Нефроантитокс.</w:t>
      </w:r>
    </w:p>
    <w:p w:rsidR="005037BE" w:rsidRDefault="005037BE" w:rsidP="005037BE">
      <w:pPr>
        <w:jc w:val="center"/>
      </w:pPr>
      <w:r>
        <w:t>(Организация-разработки к: АО «Агробиопром»,</w:t>
      </w:r>
    </w:p>
    <w:p w:rsidR="00F95C09" w:rsidRDefault="005037BE" w:rsidP="005037BE">
      <w:pPr>
        <w:jc w:val="center"/>
      </w:pPr>
      <w:r>
        <w:t>105064, Россия, г. Москва, ул. Казакова, д. 6, стр. 1</w:t>
      </w:r>
      <w:proofErr w:type="gramStart"/>
      <w:r>
        <w:t>, Э</w:t>
      </w:r>
      <w:proofErr w:type="gramEnd"/>
      <w:r>
        <w:t xml:space="preserve"> 3, пом. XIII)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Общие сведения</w:t>
      </w:r>
    </w:p>
    <w:p w:rsidR="005037BE" w:rsidRDefault="005037BE" w:rsidP="005037BE">
      <w:r w:rsidRPr="005037BE">
        <w:rPr>
          <w:b/>
        </w:rPr>
        <w:t>Регистрационный номер</w:t>
      </w:r>
      <w:r>
        <w:t>: 77-3-3.21-4735№ПВР-3-3.21/03619</w:t>
      </w:r>
    </w:p>
    <w:p w:rsidR="005037BE" w:rsidRDefault="005037BE" w:rsidP="005037BE">
      <w:r w:rsidRPr="005037BE">
        <w:rPr>
          <w:b/>
        </w:rPr>
        <w:t>Международное непатентованное наименование</w:t>
      </w:r>
      <w:r>
        <w:t>: пиридоксин, артишока экстракт, кальция карбонат.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Состав и форма выпуска</w:t>
      </w:r>
    </w:p>
    <w:p w:rsidR="005037BE" w:rsidRDefault="005037BE" w:rsidP="005037BE">
      <w:r>
        <w:t xml:space="preserve">Лекарственный препарат Нефроантитокс в 1 г в качестве действующих веществ содержит: пиридоксина гидрохлорид - 5 мг, артишока листьев экстракт - 50 мг, карбонат кальция - 80 мг, а в качестве вспомогательных веществ: </w:t>
      </w:r>
      <w:proofErr w:type="spellStart"/>
      <w:r>
        <w:t>хитозан</w:t>
      </w:r>
      <w:proofErr w:type="spellEnd"/>
      <w:r>
        <w:t xml:space="preserve">, цитрат калия, лактозу. По внешнему виду лекарственный препарат представляет собой порошок от кремового до светло-коричневого цвета, нерастворимый в воде. Лекарственный препарат </w:t>
      </w:r>
      <w:proofErr w:type="spellStart"/>
      <w:r>
        <w:t>Нефроантитокс</w:t>
      </w:r>
      <w:proofErr w:type="spellEnd"/>
      <w:r>
        <w:t xml:space="preserve"> выпускают расфасованным по 50 г, 100 г и 150 г в полимерные банки (флаконы), герметично укупоренные крышками с контролем первого вскрытия, в комплекте с двусторонней мерной ложкой (вместимость большей емкости ложки -1 г, меньшей - 0,1 г); по 1 г, 2 г, 5 г и 10 г в герметично запаянные пакеты из металлизированной пленки. Банки (флаконы) упаковывают в индивидуальные картонные пачки. Пакеты по 1 г и 2 г из металлизированной пленки упаковывают по 50 штук, пакеты по 5 г и 10 г упаковывают по 10 штук в картонные пачки. Каждую потребительскую упаковку снабжают инструкцией по применению.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Лекарственная форма</w:t>
      </w:r>
    </w:p>
    <w:p w:rsidR="005037BE" w:rsidRDefault="005037BE" w:rsidP="005037BE">
      <w:r>
        <w:t>Порошок для приема внутрь.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Фармакотерапевтическая группа</w:t>
      </w:r>
    </w:p>
    <w:p w:rsidR="005037BE" w:rsidRDefault="005037BE" w:rsidP="005037BE">
      <w:r>
        <w:t xml:space="preserve">Другие </w:t>
      </w:r>
      <w:proofErr w:type="spellStart"/>
      <w:r>
        <w:t>органотропные</w:t>
      </w:r>
      <w:proofErr w:type="spellEnd"/>
      <w:r>
        <w:t xml:space="preserve"> средства в комбинациях.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Фармакологические свойства</w:t>
      </w:r>
    </w:p>
    <w:p w:rsidR="005037BE" w:rsidRDefault="005037BE" w:rsidP="005037BE">
      <w:proofErr w:type="spellStart"/>
      <w:r>
        <w:t>Фармакодинамика</w:t>
      </w:r>
      <w:proofErr w:type="spellEnd"/>
      <w:r>
        <w:t xml:space="preserve"> и фармакокинетика</w:t>
      </w:r>
    </w:p>
    <w:p w:rsidR="005037BE" w:rsidRDefault="005037BE" w:rsidP="005037BE">
      <w:r>
        <w:t xml:space="preserve">Пиридоксина гидрохлорид, входящий в состав лекарственного препарата, относится к группе водорастворимых витаминов. Является коферментом трансаминаз и декарбоксилаз, которые обеспечивают обмен аминокислот и синтез нейромедиаторов. Регулирует обмен </w:t>
      </w:r>
      <w:proofErr w:type="spellStart"/>
      <w:r>
        <w:t>глутаминовой</w:t>
      </w:r>
      <w:proofErr w:type="spellEnd"/>
      <w:r>
        <w:t xml:space="preserve"> кислоты, метионина и цистеина. Способствует нормализации липидного обмена. Стимулирует синтез </w:t>
      </w:r>
      <w:proofErr w:type="spellStart"/>
      <w:r>
        <w:t>гема</w:t>
      </w:r>
      <w:proofErr w:type="spellEnd"/>
      <w:r>
        <w:t xml:space="preserve"> в гемоглобине, увеличивает синтез </w:t>
      </w:r>
      <w:proofErr w:type="spellStart"/>
      <w:r>
        <w:t>железосвязывающего</w:t>
      </w:r>
      <w:proofErr w:type="spellEnd"/>
      <w:r>
        <w:t xml:space="preserve"> белка костного мозга, регулирует обмен витамина В12 и фолиевой кислоты; вызывает замедление свертываемости крови и агрегации тромбоцитов, улучшает текучесть крови и кровоснабжение тканей.</w:t>
      </w:r>
    </w:p>
    <w:p w:rsidR="005037BE" w:rsidRDefault="005037BE" w:rsidP="005037BE">
      <w:r>
        <w:t xml:space="preserve">Артишока листьев экстракт стимулирует образование желчи, снижает содержание холестерина и мочевины в крови, обладает </w:t>
      </w:r>
      <w:proofErr w:type="spellStart"/>
      <w:r>
        <w:t>гепатопротекторным</w:t>
      </w:r>
      <w:proofErr w:type="spellEnd"/>
      <w:r>
        <w:t xml:space="preserve">, антиоксидантным, </w:t>
      </w:r>
      <w:proofErr w:type="spellStart"/>
      <w:r>
        <w:t>нефропротекторным</w:t>
      </w:r>
      <w:proofErr w:type="spellEnd"/>
      <w:r>
        <w:t xml:space="preserve">, мягким диуретическим и </w:t>
      </w:r>
      <w:proofErr w:type="spellStart"/>
      <w:r>
        <w:t>гипоазотемическим</w:t>
      </w:r>
      <w:proofErr w:type="spellEnd"/>
      <w:r>
        <w:t xml:space="preserve"> свойствами. Содержащиеся в экстракте </w:t>
      </w:r>
      <w:r>
        <w:lastRenderedPageBreak/>
        <w:t>аскорбиновая кислота, каротин, витамины В1 и В2, рутин, инулин способствуют нормализации обменных процессов в организме.</w:t>
      </w:r>
    </w:p>
    <w:p w:rsidR="005037BE" w:rsidRDefault="005037BE" w:rsidP="005037BE">
      <w:r>
        <w:t>Карбонат кальция уменьшает кислотность желудочного сока, нормализует электролитный баланс. Участвует в процессе свертывания крови, способствует стабильной работе сердца и нормальной передаче нервных импульсов. При поступлении в организм образует прочные нерастворимые соединения с фосфатами, корректирует таким образом уровень кальция в крови и способствует поддержанию оптимального фосфорно-кальциевого обмена в организме.</w:t>
      </w:r>
    </w:p>
    <w:p w:rsidR="005037BE" w:rsidRDefault="005037BE" w:rsidP="005037BE">
      <w:r>
        <w:t xml:space="preserve">Пиридоксина гидрохлорид быстро всасывается в кишечнике, </w:t>
      </w:r>
      <w:proofErr w:type="spellStart"/>
      <w:r>
        <w:t>метаболизируется</w:t>
      </w:r>
      <w:proofErr w:type="spellEnd"/>
      <w:r>
        <w:t xml:space="preserve"> в печени. Хорошо проникает во все ткани, накапливается преимущественно в печени, меньше - в мышцах и центральной нервной системе. Период полувыведения -15-20 дней. Выводится в основном почками.</w:t>
      </w:r>
    </w:p>
    <w:p w:rsidR="005037BE" w:rsidRDefault="005037BE" w:rsidP="005037BE">
      <w:r>
        <w:t xml:space="preserve">Карбонат кальция в желудке в результате взаимодействия лекарственного препарата с желудочным соком переходит в растворимую форму и частично всасывается в кишечнике. Данный процесс зависит от присутствия витамина D, </w:t>
      </w:r>
      <w:proofErr w:type="spellStart"/>
      <w:r>
        <w:t>pH</w:t>
      </w:r>
      <w:proofErr w:type="spellEnd"/>
      <w:r>
        <w:t xml:space="preserve"> среды, особенностей диеты и наличия факторов, способных связывать ион кальция. Адсорбция кальция возрастает при его дефиците и использовании диеты со сниженным содержанием кальция. В плазме около 45% кальция находится в комплексе с белками. Выводится преимущественно с фекалиями.</w:t>
      </w:r>
    </w:p>
    <w:p w:rsidR="005037BE" w:rsidRDefault="005037BE" w:rsidP="005037BE">
      <w:r>
        <w:t>Фармакокинетика артишока листьев экстракта до конца не изучена ввиду его многокомпонентного состава.</w:t>
      </w:r>
    </w:p>
    <w:p w:rsidR="005037BE" w:rsidRDefault="005037BE" w:rsidP="005037BE">
      <w:r>
        <w:t>Лекарственный препарат Нефроантитокс по степени воздействия на организм относится к малоопасным веществам (4 класс опасности по ГОСТ 12.1.007-76).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Показания к применению</w:t>
      </w:r>
    </w:p>
    <w:p w:rsidR="005037BE" w:rsidRDefault="005037BE" w:rsidP="005037BE">
      <w:r>
        <w:t xml:space="preserve">Лекарственный препарат Нефроантитокс применяют собакам и кошкам для улучшения функционирования и поддержания работы почек (в составе комплексной терапии или в качестве </w:t>
      </w:r>
      <w:proofErr w:type="spellStart"/>
      <w:r>
        <w:t>монотерапии</w:t>
      </w:r>
      <w:proofErr w:type="spellEnd"/>
      <w:r>
        <w:t>) при почечной недостаточности.</w:t>
      </w:r>
    </w:p>
    <w:p w:rsidR="005037BE" w:rsidRDefault="005037BE" w:rsidP="005037BE">
      <w:r>
        <w:t xml:space="preserve">Лекарственный препарат применяют также для нормализации и контроля нарушений обменных процессов (в том числе интоксикации, анемии, </w:t>
      </w:r>
      <w:proofErr w:type="spellStart"/>
      <w:r>
        <w:t>гиперфосфатемии</w:t>
      </w:r>
      <w:proofErr w:type="spellEnd"/>
      <w:r>
        <w:t xml:space="preserve">, </w:t>
      </w:r>
      <w:proofErr w:type="spellStart"/>
      <w:r>
        <w:t>гиперазотемии</w:t>
      </w:r>
      <w:proofErr w:type="spellEnd"/>
      <w:r>
        <w:t>), возникающих при хронической почечной недостаточности на разных стадиях заболевания.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Порядок применения</w:t>
      </w:r>
    </w:p>
    <w:p w:rsidR="005037BE" w:rsidRDefault="005037BE" w:rsidP="005037BE">
      <w:r>
        <w:t>Лекарственный препарат Нефроантитокс применяют животным перорально с кормом или водой для поения в дозе 1 г на 5 кг массы животного 2 раза в сутки в течение 2-6 месяцев в зависимости от тяжести заболевания или по назначению ветеринарного врача.</w:t>
      </w:r>
    </w:p>
    <w:p w:rsidR="005037BE" w:rsidRDefault="005037BE" w:rsidP="005037BE">
      <w:r>
        <w:t>При использовании лекарственного препарата Нефроантитокс в банках (флаконах) учитывают, что 1 полная большая емкость мерной ложки без горки соответствует 1 г лекарственного препарата.</w:t>
      </w:r>
    </w:p>
    <w:p w:rsidR="005037BE" w:rsidRDefault="005037BE" w:rsidP="005037BE">
      <w:r>
        <w:t>Особенностей действия лекарственного препарата при его первом применении и отмене не установлено. Следует избегать нарушений дозы и курса применения лекарственного препарата, так как это может привести к снижению его терапевтической эффективности. В случае пропуска одной или нескольких доз лекарственного препарата курс лечения необходимо возобновить в предусмотренной дозе и схеме применения.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Побочные явления и осложнения</w:t>
      </w:r>
    </w:p>
    <w:p w:rsidR="005037BE" w:rsidRDefault="005037BE" w:rsidP="005037BE">
      <w:r>
        <w:t xml:space="preserve">Побочных явлений и осложнений при применении лекарственного препарата в соответствии с настоящей инструкцией, как правило, не наблюдается. При повышенной индивидуальной </w:t>
      </w:r>
      <w:r>
        <w:lastRenderedPageBreak/>
        <w:t>чувствительности и появлении аллергических реакций применение лекарственного препарата следует прекратить и при необходимости назначить животному симптоматическую терапию. 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Противопоказания</w:t>
      </w:r>
    </w:p>
    <w:p w:rsidR="005037BE" w:rsidRDefault="005037BE" w:rsidP="005037BE">
      <w:r>
        <w:t>Противопоказанием к применению лекарственного препарата является индивидуальная повышенная чувствительность животного к его компонентам (в том числе в анамнезе). Лекарственный препарат не следует применять собакам и кошкам младше б-месячного возраста.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Передозировка</w:t>
      </w:r>
    </w:p>
    <w:p w:rsidR="005037BE" w:rsidRDefault="005037BE" w:rsidP="005037BE">
      <w:r>
        <w:t>Симптомов передозировки лекарственного препарата Нефроантитокс не установлено.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Взаимодействие с другими лекарственными препаратами</w:t>
      </w:r>
    </w:p>
    <w:p w:rsidR="005037BE" w:rsidRDefault="005037BE" w:rsidP="005037BE">
      <w:r>
        <w:t>Лекарственный препарат Нефроантитокс совместим с другими лекарственными препаратами и кормовыми добавками.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Беременность и лактация</w:t>
      </w:r>
    </w:p>
    <w:p w:rsidR="005037BE" w:rsidRDefault="005037BE" w:rsidP="005037BE">
      <w:r>
        <w:t>Нефроантитокс может применяться животным в период беременности и лактации.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Особые указания</w:t>
      </w:r>
    </w:p>
    <w:p w:rsidR="005037BE" w:rsidRDefault="005037BE" w:rsidP="005037BE">
      <w:r>
        <w:t>Лекарственный препарат Нефроантитокс не предназначен для применения продуктивным животным.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Меры личной профилактики</w:t>
      </w:r>
    </w:p>
    <w:p w:rsidR="005037BE" w:rsidRDefault="005037BE" w:rsidP="005037BE">
      <w:r>
        <w:t>При работе с лекарственным препаратом следует соблюдать общие правила личной гигиены и техники безопасности, предусмотренные при работе с лекарственными препаратами.</w:t>
      </w:r>
    </w:p>
    <w:p w:rsidR="005037BE" w:rsidRDefault="005037BE" w:rsidP="005037BE">
      <w:r>
        <w:t>Людям с гиперчувствительностью к компонентам лекарственного препарата следует избегать прямого контакта с ним. При случайном попадании лекарственного препарата на кожу или слизистые оболочки глаз, их необходимо промыть большим количеством воды. В случае проявления аллергических реакций или при случайном попадании компонентов лекарственного препарата в организм человека следует немедленно обратиться в медицинское учрежде</w:t>
      </w:r>
      <w:bookmarkStart w:id="0" w:name="_GoBack"/>
      <w:bookmarkEnd w:id="0"/>
      <w:r>
        <w:t>ние (при себе иметь инструкцию по применению или этикетку). Неиспользованный лекарственный препарат утилизируют в соответствии с требованиями законодательства. Запрещается использование пустой упаковки из-под лекарственного препарата для бытовых целей, она подлежит утилизации с бытовыми отходами.</w:t>
      </w:r>
    </w:p>
    <w:p w:rsidR="005037BE" w:rsidRPr="005037BE" w:rsidRDefault="005037BE" w:rsidP="005037BE">
      <w:pPr>
        <w:rPr>
          <w:b/>
        </w:rPr>
      </w:pPr>
      <w:r w:rsidRPr="005037BE">
        <w:rPr>
          <w:b/>
        </w:rPr>
        <w:t>Условия хранения</w:t>
      </w:r>
    </w:p>
    <w:p w:rsidR="005037BE" w:rsidRDefault="005037BE" w:rsidP="005037BE">
      <w:r>
        <w:t>Лекарственный препарат хранят в закрытой упаковке производителя, в защищенном от прямых солнечных лучей месте, отдельно от продуктов питания и кормов, при температуре от 0 °C до 25 °C. Срок годности лекарственного препарата при соблюдении условий хранения в закрытой упаковке производителя - 3 года с даты производства. Запрещается применение лекарственного препарата по истечении срока годности. Лекарственный препарат следует хранить в местах, недоступных для детей. Лекарственный препарат отпускается без рецепта ветеринарного врача.</w:t>
      </w:r>
    </w:p>
    <w:p w:rsidR="005037BE" w:rsidRDefault="005037BE" w:rsidP="005037BE">
      <w:r>
        <w:t>СТО 18678116-104-2020</w:t>
      </w:r>
    </w:p>
    <w:sectPr w:rsidR="0050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BE"/>
    <w:rsid w:val="00000FF8"/>
    <w:rsid w:val="00004853"/>
    <w:rsid w:val="0001628E"/>
    <w:rsid w:val="0006479D"/>
    <w:rsid w:val="000C1E2B"/>
    <w:rsid w:val="000E201E"/>
    <w:rsid w:val="000E47D6"/>
    <w:rsid w:val="0010245A"/>
    <w:rsid w:val="00173C2C"/>
    <w:rsid w:val="001778CB"/>
    <w:rsid w:val="001A382F"/>
    <w:rsid w:val="001F1F0C"/>
    <w:rsid w:val="00221858"/>
    <w:rsid w:val="00251EA5"/>
    <w:rsid w:val="00266F36"/>
    <w:rsid w:val="002B4DF0"/>
    <w:rsid w:val="002C479C"/>
    <w:rsid w:val="002C590F"/>
    <w:rsid w:val="002E629E"/>
    <w:rsid w:val="002E7769"/>
    <w:rsid w:val="00303513"/>
    <w:rsid w:val="00316F54"/>
    <w:rsid w:val="00327734"/>
    <w:rsid w:val="0033499C"/>
    <w:rsid w:val="003519A5"/>
    <w:rsid w:val="003768D1"/>
    <w:rsid w:val="003A182A"/>
    <w:rsid w:val="003A2B33"/>
    <w:rsid w:val="003A2B80"/>
    <w:rsid w:val="003C0DEA"/>
    <w:rsid w:val="003C36A3"/>
    <w:rsid w:val="003E0C7F"/>
    <w:rsid w:val="003E3232"/>
    <w:rsid w:val="003E54D8"/>
    <w:rsid w:val="003E69E6"/>
    <w:rsid w:val="003E7031"/>
    <w:rsid w:val="004165E5"/>
    <w:rsid w:val="004208A0"/>
    <w:rsid w:val="0043161F"/>
    <w:rsid w:val="00457D3E"/>
    <w:rsid w:val="00460CC0"/>
    <w:rsid w:val="00461844"/>
    <w:rsid w:val="00464260"/>
    <w:rsid w:val="00484548"/>
    <w:rsid w:val="00497F65"/>
    <w:rsid w:val="004D3922"/>
    <w:rsid w:val="005037BE"/>
    <w:rsid w:val="005612CC"/>
    <w:rsid w:val="005622BC"/>
    <w:rsid w:val="005B7834"/>
    <w:rsid w:val="005F61E1"/>
    <w:rsid w:val="006066DF"/>
    <w:rsid w:val="006144AE"/>
    <w:rsid w:val="00615E1F"/>
    <w:rsid w:val="0061695D"/>
    <w:rsid w:val="00633AF0"/>
    <w:rsid w:val="006423C2"/>
    <w:rsid w:val="006464CC"/>
    <w:rsid w:val="0065228C"/>
    <w:rsid w:val="006632EF"/>
    <w:rsid w:val="00664E15"/>
    <w:rsid w:val="0069152F"/>
    <w:rsid w:val="00692A6F"/>
    <w:rsid w:val="006B6DF9"/>
    <w:rsid w:val="006F30F9"/>
    <w:rsid w:val="00702B61"/>
    <w:rsid w:val="00716861"/>
    <w:rsid w:val="0072407B"/>
    <w:rsid w:val="007277C5"/>
    <w:rsid w:val="00744C12"/>
    <w:rsid w:val="00747E65"/>
    <w:rsid w:val="0076585E"/>
    <w:rsid w:val="00771B18"/>
    <w:rsid w:val="007B7186"/>
    <w:rsid w:val="007F6CE9"/>
    <w:rsid w:val="00855F5A"/>
    <w:rsid w:val="00867778"/>
    <w:rsid w:val="008A4202"/>
    <w:rsid w:val="008A7DF2"/>
    <w:rsid w:val="008D1E3A"/>
    <w:rsid w:val="008E2828"/>
    <w:rsid w:val="00926F4C"/>
    <w:rsid w:val="009446FB"/>
    <w:rsid w:val="00954D44"/>
    <w:rsid w:val="0096414B"/>
    <w:rsid w:val="0096596E"/>
    <w:rsid w:val="009671DA"/>
    <w:rsid w:val="009C5E7F"/>
    <w:rsid w:val="00A10952"/>
    <w:rsid w:val="00A311AA"/>
    <w:rsid w:val="00A47A68"/>
    <w:rsid w:val="00A53E9D"/>
    <w:rsid w:val="00A65CBB"/>
    <w:rsid w:val="00A66737"/>
    <w:rsid w:val="00A6773F"/>
    <w:rsid w:val="00AA35A6"/>
    <w:rsid w:val="00AA7DD6"/>
    <w:rsid w:val="00AC50AD"/>
    <w:rsid w:val="00AD51CE"/>
    <w:rsid w:val="00B05E45"/>
    <w:rsid w:val="00B26B02"/>
    <w:rsid w:val="00B474BE"/>
    <w:rsid w:val="00B47D58"/>
    <w:rsid w:val="00B60B1A"/>
    <w:rsid w:val="00BD02AE"/>
    <w:rsid w:val="00BD3623"/>
    <w:rsid w:val="00C0406B"/>
    <w:rsid w:val="00C06BE4"/>
    <w:rsid w:val="00C5756D"/>
    <w:rsid w:val="00C7384E"/>
    <w:rsid w:val="00C751A4"/>
    <w:rsid w:val="00C8240A"/>
    <w:rsid w:val="00C92001"/>
    <w:rsid w:val="00C95667"/>
    <w:rsid w:val="00CA724B"/>
    <w:rsid w:val="00CC06B4"/>
    <w:rsid w:val="00CC2183"/>
    <w:rsid w:val="00CD59A5"/>
    <w:rsid w:val="00CF2276"/>
    <w:rsid w:val="00CF53F5"/>
    <w:rsid w:val="00D163AB"/>
    <w:rsid w:val="00D5025A"/>
    <w:rsid w:val="00D519D5"/>
    <w:rsid w:val="00D73A12"/>
    <w:rsid w:val="00DA04BB"/>
    <w:rsid w:val="00DA22A2"/>
    <w:rsid w:val="00DB39FB"/>
    <w:rsid w:val="00DD0E98"/>
    <w:rsid w:val="00DE327D"/>
    <w:rsid w:val="00DF0398"/>
    <w:rsid w:val="00E10045"/>
    <w:rsid w:val="00E1607B"/>
    <w:rsid w:val="00E206F9"/>
    <w:rsid w:val="00E23547"/>
    <w:rsid w:val="00E85039"/>
    <w:rsid w:val="00E85BF2"/>
    <w:rsid w:val="00EA4A5A"/>
    <w:rsid w:val="00EB2B22"/>
    <w:rsid w:val="00EB5116"/>
    <w:rsid w:val="00ED2C51"/>
    <w:rsid w:val="00EF0C95"/>
    <w:rsid w:val="00F0396C"/>
    <w:rsid w:val="00F256CF"/>
    <w:rsid w:val="00F54D55"/>
    <w:rsid w:val="00F86D50"/>
    <w:rsid w:val="00FA65AA"/>
    <w:rsid w:val="00FB7368"/>
    <w:rsid w:val="00FC4812"/>
    <w:rsid w:val="00FE695A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01E8"/>
  <w15:chartTrackingRefBased/>
  <w15:docId w15:val="{FC6EDD28-26BD-4A37-96A9-C04B3DE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Игнатов</dc:creator>
  <cp:keywords/>
  <dc:description/>
  <cp:lastModifiedBy>User</cp:lastModifiedBy>
  <cp:revision>2</cp:revision>
  <dcterms:created xsi:type="dcterms:W3CDTF">2021-05-05T06:40:00Z</dcterms:created>
  <dcterms:modified xsi:type="dcterms:W3CDTF">2021-05-05T08:05:00Z</dcterms:modified>
</cp:coreProperties>
</file>