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74BF2" w14:textId="77777777" w:rsidR="00791303" w:rsidRPr="00E453B4" w:rsidRDefault="00791303" w:rsidP="00791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>Инструкция</w:t>
      </w:r>
    </w:p>
    <w:p w14:paraId="248983B8" w14:textId="77777777" w:rsidR="00791303" w:rsidRPr="00E453B4" w:rsidRDefault="00791303" w:rsidP="00791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 xml:space="preserve">по применению препарата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Гепатолюкс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суспензия</w:t>
      </w:r>
    </w:p>
    <w:p w14:paraId="4A8EE69C" w14:textId="77777777" w:rsidR="00791303" w:rsidRPr="00E453B4" w:rsidRDefault="00791303" w:rsidP="00791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>для лечения и профилактики заболеваний печени у собак и кошек.</w:t>
      </w:r>
    </w:p>
    <w:p w14:paraId="6731D46C" w14:textId="77777777" w:rsidR="00791303" w:rsidRPr="00E453B4" w:rsidRDefault="00791303" w:rsidP="00791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>(Организация-производитель - АО «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>», Россия).</w:t>
      </w:r>
    </w:p>
    <w:p w14:paraId="7DAF26B2" w14:textId="77777777" w:rsidR="00791303" w:rsidRPr="00E453B4" w:rsidRDefault="00791303" w:rsidP="00791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>Для ветеринарного применения.</w:t>
      </w:r>
    </w:p>
    <w:p w14:paraId="436C7758" w14:textId="77777777" w:rsidR="00791303" w:rsidRPr="00E453B4" w:rsidRDefault="00791303" w:rsidP="00791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>Общие сведения</w:t>
      </w:r>
    </w:p>
    <w:p w14:paraId="332B4E66" w14:textId="77777777" w:rsidR="00791303" w:rsidRPr="00E453B4" w:rsidRDefault="00791303" w:rsidP="007913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6B7A52" w14:textId="77777777" w:rsidR="00791303" w:rsidRPr="00E453B4" w:rsidRDefault="00791303" w:rsidP="00791303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b/>
          <w:sz w:val="24"/>
          <w:szCs w:val="24"/>
        </w:rPr>
        <w:t>Регистрационный номер:</w:t>
      </w:r>
      <w:r w:rsidRPr="00E453B4">
        <w:rPr>
          <w:rFonts w:ascii="Times New Roman" w:hAnsi="Times New Roman" w:cs="Times New Roman"/>
          <w:sz w:val="24"/>
          <w:szCs w:val="24"/>
        </w:rPr>
        <w:t xml:space="preserve"> РК-ВП-4-3671-18</w:t>
      </w:r>
    </w:p>
    <w:p w14:paraId="79405867" w14:textId="77777777" w:rsidR="00791303" w:rsidRPr="00E453B4" w:rsidRDefault="00791303" w:rsidP="00791303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b/>
          <w:sz w:val="24"/>
          <w:szCs w:val="24"/>
        </w:rPr>
        <w:t>Международное непатентованное наименование:</w:t>
      </w:r>
      <w:r w:rsidRPr="00E453B4">
        <w:rPr>
          <w:rFonts w:ascii="Times New Roman" w:hAnsi="Times New Roman" w:cs="Times New Roman"/>
          <w:sz w:val="24"/>
          <w:szCs w:val="24"/>
        </w:rPr>
        <w:t xml:space="preserve"> фосфолипиды,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глицирризиновая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 кислота, глицин, L-аргинин, орнитин, артишока листьев экстракт, метионин, расторопши пятнистой плодов экстракт, маточное молочко.</w:t>
      </w:r>
    </w:p>
    <w:p w14:paraId="348C6599" w14:textId="77777777" w:rsidR="00791303" w:rsidRPr="00E453B4" w:rsidRDefault="00791303" w:rsidP="007913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3B4">
        <w:rPr>
          <w:rFonts w:ascii="Times New Roman" w:hAnsi="Times New Roman" w:cs="Times New Roman"/>
          <w:b/>
          <w:sz w:val="24"/>
          <w:szCs w:val="24"/>
        </w:rPr>
        <w:t>Состав и форма выпуска</w:t>
      </w:r>
    </w:p>
    <w:p w14:paraId="092273EE" w14:textId="45DFCA14" w:rsidR="00791303" w:rsidRPr="00E453B4" w:rsidRDefault="00791303" w:rsidP="0079130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Гепатолюкс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Gepatolux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суспензия </w:t>
      </w:r>
      <w:r w:rsidRPr="00E453B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собак </w:t>
      </w:r>
      <w:r>
        <w:rPr>
          <w:rFonts w:ascii="Times New Roman" w:hAnsi="Times New Roman" w:cs="Times New Roman"/>
          <w:sz w:val="24"/>
          <w:szCs w:val="24"/>
        </w:rPr>
        <w:t>средних и крупных</w:t>
      </w:r>
      <w:r>
        <w:rPr>
          <w:rFonts w:ascii="Times New Roman" w:hAnsi="Times New Roman" w:cs="Times New Roman"/>
          <w:sz w:val="24"/>
          <w:szCs w:val="24"/>
        </w:rPr>
        <w:t xml:space="preserve"> пород</w:t>
      </w:r>
      <w:r w:rsidRPr="00E453B4">
        <w:rPr>
          <w:rFonts w:ascii="Times New Roman" w:hAnsi="Times New Roman" w:cs="Times New Roman"/>
          <w:sz w:val="24"/>
          <w:szCs w:val="24"/>
        </w:rPr>
        <w:t xml:space="preserve"> содержит в 1 мл действующие вещества: метионин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453B4">
        <w:rPr>
          <w:rFonts w:ascii="Times New Roman" w:hAnsi="Times New Roman" w:cs="Times New Roman"/>
          <w:sz w:val="24"/>
          <w:szCs w:val="24"/>
        </w:rPr>
        <w:t xml:space="preserve">0 мг, фосфолипиды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эссенциальные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 (лецитин) растительного происхождения из семян сои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453B4">
        <w:rPr>
          <w:rFonts w:ascii="Times New Roman" w:hAnsi="Times New Roman" w:cs="Times New Roman"/>
          <w:sz w:val="24"/>
          <w:szCs w:val="24"/>
        </w:rPr>
        <w:t>0 мг,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3B4">
        <w:rPr>
          <w:rFonts w:ascii="Times New Roman" w:hAnsi="Times New Roman" w:cs="Times New Roman"/>
          <w:sz w:val="24"/>
          <w:szCs w:val="24"/>
        </w:rPr>
        <w:t xml:space="preserve">L - аргинин – </w:t>
      </w:r>
      <w:r>
        <w:rPr>
          <w:rFonts w:ascii="Times New Roman" w:hAnsi="Times New Roman" w:cs="Times New Roman"/>
          <w:sz w:val="24"/>
          <w:szCs w:val="24"/>
        </w:rPr>
        <w:t>0,</w:t>
      </w:r>
      <w:r w:rsidRPr="00E453B4">
        <w:rPr>
          <w:rFonts w:ascii="Times New Roman" w:hAnsi="Times New Roman" w:cs="Times New Roman"/>
          <w:sz w:val="24"/>
          <w:szCs w:val="24"/>
        </w:rPr>
        <w:t xml:space="preserve">5 мг, L -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оргинин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 - 25 мг, экстракт листьев артишока полевого – 20 мг, экстракт семян расторопши пятнистой (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силимарин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) – 5 мг, соль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глицирризиновой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 кислоты – 10 мг, глицин – 10 мг, пчелиное маточное молочко – </w:t>
      </w:r>
      <w:r>
        <w:rPr>
          <w:rFonts w:ascii="Times New Roman" w:hAnsi="Times New Roman" w:cs="Times New Roman"/>
          <w:sz w:val="24"/>
          <w:szCs w:val="24"/>
        </w:rPr>
        <w:t>0,</w:t>
      </w:r>
      <w:r w:rsidRPr="00E453B4">
        <w:rPr>
          <w:rFonts w:ascii="Times New Roman" w:hAnsi="Times New Roman" w:cs="Times New Roman"/>
          <w:sz w:val="24"/>
          <w:szCs w:val="24"/>
        </w:rPr>
        <w:t xml:space="preserve">1 мг и вспомогательные компоненты: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бензоат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натрия,</w:t>
      </w:r>
      <w:r w:rsidRPr="00E453B4">
        <w:rPr>
          <w:rFonts w:ascii="Times New Roman" w:hAnsi="Times New Roman" w:cs="Times New Roman"/>
          <w:sz w:val="24"/>
          <w:szCs w:val="24"/>
        </w:rPr>
        <w:t xml:space="preserve"> лимонная кислота,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ксантановая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камедь </w:t>
      </w:r>
      <w:r w:rsidRPr="00E453B4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Keltrol</w:t>
      </w:r>
      <w:proofErr w:type="spellEnd"/>
      <w:r>
        <w:rPr>
          <w:rFonts w:ascii="Times New Roman" w:hAnsi="Times New Roman" w:cs="Times New Roman"/>
          <w:sz w:val="24"/>
          <w:szCs w:val="24"/>
        </w:rPr>
        <w:t>), ПЭГ-400,</w:t>
      </w:r>
      <w:r w:rsidRPr="00E453B4">
        <w:rPr>
          <w:rFonts w:ascii="Times New Roman" w:hAnsi="Times New Roman" w:cs="Times New Roman"/>
          <w:sz w:val="24"/>
          <w:szCs w:val="24"/>
        </w:rPr>
        <w:t xml:space="preserve"> вода очищенная. По внешнему виду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Гепатолюкс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 представляет собой суспензию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E453B4">
        <w:rPr>
          <w:rFonts w:ascii="Times New Roman" w:hAnsi="Times New Roman" w:cs="Times New Roman"/>
          <w:sz w:val="24"/>
          <w:szCs w:val="24"/>
        </w:rPr>
        <w:t>светло-</w:t>
      </w:r>
      <w:r>
        <w:rPr>
          <w:rFonts w:ascii="Times New Roman" w:hAnsi="Times New Roman" w:cs="Times New Roman"/>
          <w:sz w:val="24"/>
          <w:szCs w:val="24"/>
        </w:rPr>
        <w:t>коричневого до темно-коричневого</w:t>
      </w:r>
      <w:r w:rsidRPr="00E453B4">
        <w:rPr>
          <w:rFonts w:ascii="Times New Roman" w:hAnsi="Times New Roman" w:cs="Times New Roman"/>
          <w:sz w:val="24"/>
          <w:szCs w:val="24"/>
        </w:rPr>
        <w:t xml:space="preserve"> цвета. Выпускают препарат расфасованным по 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453B4">
        <w:rPr>
          <w:rFonts w:ascii="Times New Roman" w:hAnsi="Times New Roman" w:cs="Times New Roman"/>
          <w:sz w:val="24"/>
          <w:szCs w:val="24"/>
        </w:rPr>
        <w:t xml:space="preserve"> мл в полимерные флаконы, герметично укупоренные навинчивающимися крышками с контролем первого вскрытия, упакованные в картонные пачки в комплекте со шприцем-дозатором и инструкцией по применению. </w:t>
      </w:r>
    </w:p>
    <w:p w14:paraId="09C620AB" w14:textId="77777777" w:rsidR="00791303" w:rsidRPr="00E453B4" w:rsidRDefault="00791303" w:rsidP="007913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3B4">
        <w:rPr>
          <w:rFonts w:ascii="Times New Roman" w:hAnsi="Times New Roman" w:cs="Times New Roman"/>
          <w:b/>
          <w:sz w:val="24"/>
          <w:szCs w:val="24"/>
        </w:rPr>
        <w:t>Лекарственная форма</w:t>
      </w:r>
    </w:p>
    <w:p w14:paraId="10E0043C" w14:textId="122B8BA7" w:rsidR="00791303" w:rsidRPr="00E453B4" w:rsidRDefault="00791303" w:rsidP="00791303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>Суспензия для</w:t>
      </w:r>
      <w:r w:rsidRPr="00E453B4">
        <w:rPr>
          <w:rFonts w:ascii="Times New Roman" w:hAnsi="Times New Roman" w:cs="Times New Roman"/>
          <w:sz w:val="24"/>
          <w:szCs w:val="24"/>
        </w:rPr>
        <w:t xml:space="preserve"> приема внутрь.</w:t>
      </w:r>
    </w:p>
    <w:p w14:paraId="7D0F298A" w14:textId="77777777" w:rsidR="00791303" w:rsidRPr="00E453B4" w:rsidRDefault="00791303" w:rsidP="007913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3B4">
        <w:rPr>
          <w:rFonts w:ascii="Times New Roman" w:hAnsi="Times New Roman" w:cs="Times New Roman"/>
          <w:b/>
          <w:sz w:val="24"/>
          <w:szCs w:val="24"/>
        </w:rPr>
        <w:t>Фармакотерапевтическая группа</w:t>
      </w:r>
    </w:p>
    <w:p w14:paraId="49B998BB" w14:textId="77777777" w:rsidR="00791303" w:rsidRPr="00E453B4" w:rsidRDefault="00791303" w:rsidP="00791303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>Гепатопротекторы.</w:t>
      </w:r>
    </w:p>
    <w:p w14:paraId="702512AD" w14:textId="77777777" w:rsidR="00791303" w:rsidRPr="00E453B4" w:rsidRDefault="00791303" w:rsidP="007913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3B4">
        <w:rPr>
          <w:rFonts w:ascii="Times New Roman" w:hAnsi="Times New Roman" w:cs="Times New Roman"/>
          <w:b/>
          <w:sz w:val="24"/>
          <w:szCs w:val="24"/>
        </w:rPr>
        <w:t>Фармакологические свойства</w:t>
      </w:r>
    </w:p>
    <w:p w14:paraId="594A6165" w14:textId="77777777" w:rsidR="00791303" w:rsidRPr="00E453B4" w:rsidRDefault="00791303" w:rsidP="0079130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53B4">
        <w:rPr>
          <w:rFonts w:ascii="Times New Roman" w:hAnsi="Times New Roman" w:cs="Times New Roman"/>
          <w:b/>
          <w:sz w:val="24"/>
          <w:szCs w:val="24"/>
        </w:rPr>
        <w:t>Фармакодинамика</w:t>
      </w:r>
      <w:proofErr w:type="spellEnd"/>
    </w:p>
    <w:p w14:paraId="158744EC" w14:textId="6BF4D8A8" w:rsidR="00791303" w:rsidRPr="00E453B4" w:rsidRDefault="00791303" w:rsidP="00791303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 xml:space="preserve">Активные компоненты препарата способствуют нормализации белкового, углеводного и жирового обмена, обладают выраженными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гепатопротекторными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 свойствами, повышают антиоксидантную, барьерную, гомеостатическую и метаболическую функцию печени. Экстракты лекарственных растений оказывают желчегонное,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гиполипидемическое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 и гипогликемическое (понижение уровня сахара в крови) действие, ускоряют процесс </w:t>
      </w:r>
      <w:r w:rsidRPr="00E453B4">
        <w:rPr>
          <w:rFonts w:ascii="Times New Roman" w:hAnsi="Times New Roman" w:cs="Times New Roman"/>
          <w:sz w:val="24"/>
          <w:szCs w:val="24"/>
        </w:rPr>
        <w:t>депонирования веществ в</w:t>
      </w:r>
      <w:r w:rsidRPr="00E453B4">
        <w:rPr>
          <w:rFonts w:ascii="Times New Roman" w:hAnsi="Times New Roman" w:cs="Times New Roman"/>
          <w:sz w:val="24"/>
          <w:szCs w:val="24"/>
        </w:rPr>
        <w:t xml:space="preserve"> печени. Метионин является незаменимой аминокислотой, которая регулирует азотистый баланс в организме. Содержит подвижную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метильную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 группу и участвует в процессах метилирования, обеспечивающих синтез холина, адреналина, креатина и др. биологически важных соединений, обезвреживания токсичных продуктов и образования фосфолипидов. Тормозит отложение в печени нейтрального жира, </w:t>
      </w:r>
      <w:r w:rsidRPr="00E453B4">
        <w:rPr>
          <w:rFonts w:ascii="Times New Roman" w:hAnsi="Times New Roman" w:cs="Times New Roman"/>
          <w:sz w:val="24"/>
          <w:szCs w:val="24"/>
        </w:rPr>
        <w:lastRenderedPageBreak/>
        <w:t xml:space="preserve">оказывает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липотропный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 эффект (удаление из печени избытка жира). Фосфолипиды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эссенциальные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 (лецитин) относятся к классу высокоспециализированных липидов и представляют собой сложные эфиры глицерофосфорной кислоты. Являются основными элементами в структуре клеточной оболочки и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митохондрий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, регулируют липидный и углеводный обмен, улучшают функциональное состояние печени и ее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дезинтоксикационную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 функцию, способствуют сохранению и восстановлению структуры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гепатоцитов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; тормозят формирование соединительной ткани в печени. L-аргинин и L-орнитин – аминокислоты, которые ускоряют выведение из организма продуктов белкового обмена, снижают уровень холестерина, улучшают работу ферментативных систем и трофику тканей. Экстракт листьев артишока полевого обладает желчегонным,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дезинтоксикационным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гепатопротективным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гиполипидемическим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 и диуретическим действием. Повышает выведение из организма мочевины, токсинов (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нитросоединений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>, алкалоидов, солей тяжелых металлов), способствует уменьшению содержания холестерина в крови. Экстракт расторопши пятнистой (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силимарин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) обладает антиоксидантными и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мембраностабилизирующими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 свойствами, препятствует накоплению гидроперекисей липидов, тем самым уменьшает повреждения клеток печени и замедляет поступление в них токсических веществ. А также активирует и нормализует белковый и жировой обмен. Соль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глицирризиновой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53B4">
        <w:rPr>
          <w:rFonts w:ascii="Times New Roman" w:hAnsi="Times New Roman" w:cs="Times New Roman"/>
          <w:sz w:val="24"/>
          <w:szCs w:val="24"/>
        </w:rPr>
        <w:t>кислоты  стимулирует</w:t>
      </w:r>
      <w:proofErr w:type="gramEnd"/>
      <w:r w:rsidRPr="00E453B4">
        <w:rPr>
          <w:rFonts w:ascii="Times New Roman" w:hAnsi="Times New Roman" w:cs="Times New Roman"/>
          <w:sz w:val="24"/>
          <w:szCs w:val="24"/>
        </w:rPr>
        <w:t xml:space="preserve"> желчеотделение и улучшает функционирование печени, оказывает противовирусное, спазмолитическое и противовоспалительное действие. Глицин является регулятором обмена веществ, нормализует и активирует процессы защитного торможения в центральной нервной системе, повышает выносливость животного. Оказывает антиоксидантное и антитоксическое действие. Пчелиное маточное молочко способствует быстрому восстановлению и выведению токсических веществ, ядов и тяжелых металлов из организма, нормализует внутриорганное давление, повышает иммунную систему, улучшает функцию почек и печени, снижает уровень сахара в крови, а также оказывает выраженное противовоспалительное,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гепатопротекторное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453B4">
        <w:rPr>
          <w:rFonts w:ascii="Times New Roman" w:hAnsi="Times New Roman" w:cs="Times New Roman"/>
          <w:sz w:val="24"/>
          <w:szCs w:val="24"/>
        </w:rPr>
        <w:t>кардиопротекторное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E45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адаптогенное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 действие.</w:t>
      </w:r>
    </w:p>
    <w:p w14:paraId="016BD46D" w14:textId="77777777" w:rsidR="00791303" w:rsidRPr="00E453B4" w:rsidRDefault="00791303" w:rsidP="007913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3B4">
        <w:rPr>
          <w:rFonts w:ascii="Times New Roman" w:hAnsi="Times New Roman" w:cs="Times New Roman"/>
          <w:b/>
          <w:sz w:val="24"/>
          <w:szCs w:val="24"/>
        </w:rPr>
        <w:t>Фармакокинетика</w:t>
      </w:r>
    </w:p>
    <w:p w14:paraId="20C1000A" w14:textId="77777777" w:rsidR="00791303" w:rsidRPr="00E453B4" w:rsidRDefault="00791303" w:rsidP="00791303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 xml:space="preserve">После приема внутрь компоненты препарата хорошо всасываются в тонком кишечнике, в том числе в виде биологически активных продуктов их гидролиза пищеварительными ферментами, которые транспортируются через стенку кишечника в лимфатическое русло и в печени происходит частичный </w:t>
      </w:r>
      <w:proofErr w:type="spellStart"/>
      <w:proofErr w:type="gramStart"/>
      <w:r w:rsidRPr="00E453B4">
        <w:rPr>
          <w:rFonts w:ascii="Times New Roman" w:hAnsi="Times New Roman" w:cs="Times New Roman"/>
          <w:sz w:val="24"/>
          <w:szCs w:val="24"/>
        </w:rPr>
        <w:t>ресинтез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  из</w:t>
      </w:r>
      <w:proofErr w:type="gramEnd"/>
      <w:r w:rsidRPr="00E453B4">
        <w:rPr>
          <w:rFonts w:ascii="Times New Roman" w:hAnsi="Times New Roman" w:cs="Times New Roman"/>
          <w:sz w:val="24"/>
          <w:szCs w:val="24"/>
        </w:rPr>
        <w:t xml:space="preserve"> них.</w:t>
      </w:r>
    </w:p>
    <w:p w14:paraId="272B3A14" w14:textId="77777777" w:rsidR="00791303" w:rsidRPr="00E453B4" w:rsidRDefault="00791303" w:rsidP="007913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Препарат</w:t>
      </w:r>
      <w:r w:rsidRPr="00E453B4">
        <w:rPr>
          <w:rFonts w:ascii="Times New Roman" w:hAnsi="Times New Roman" w:cs="Times New Roman"/>
          <w:sz w:val="24"/>
          <w:szCs w:val="24"/>
        </w:rPr>
        <w:t xml:space="preserve"> по степени воздействия на организм теплокровных животных относится к малоопасным веществам (4 класс опасности по ГОСТ 12.1.007-76). В рекомендуемых дозах не оказывает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эмбриотоксического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>, тератогенного, мутагенного и сенсибилизирующего действия.</w:t>
      </w:r>
    </w:p>
    <w:p w14:paraId="405FEA51" w14:textId="77777777" w:rsidR="00791303" w:rsidRPr="00E453B4" w:rsidRDefault="00791303" w:rsidP="007913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3B4">
        <w:rPr>
          <w:rFonts w:ascii="Times New Roman" w:hAnsi="Times New Roman" w:cs="Times New Roman"/>
          <w:b/>
          <w:sz w:val="24"/>
          <w:szCs w:val="24"/>
        </w:rPr>
        <w:t>Показания к применению</w:t>
      </w:r>
    </w:p>
    <w:p w14:paraId="3AAD0DD7" w14:textId="1537BB97" w:rsidR="00791303" w:rsidRPr="00E453B4" w:rsidRDefault="00791303" w:rsidP="0079130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Гепатолюкс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суспензию</w:t>
      </w:r>
      <w:r w:rsidRPr="00E453B4">
        <w:rPr>
          <w:rFonts w:ascii="Times New Roman" w:hAnsi="Times New Roman" w:cs="Times New Roman"/>
          <w:sz w:val="24"/>
          <w:szCs w:val="24"/>
        </w:rPr>
        <w:t xml:space="preserve"> применяют </w:t>
      </w:r>
      <w:r>
        <w:rPr>
          <w:rFonts w:ascii="Times New Roman" w:hAnsi="Times New Roman" w:cs="Times New Roman"/>
          <w:sz w:val="24"/>
          <w:szCs w:val="24"/>
        </w:rPr>
        <w:t>собакам</w:t>
      </w:r>
      <w:r w:rsidRPr="00E453B4">
        <w:rPr>
          <w:rFonts w:ascii="Times New Roman" w:hAnsi="Times New Roman" w:cs="Times New Roman"/>
          <w:sz w:val="24"/>
          <w:szCs w:val="24"/>
        </w:rPr>
        <w:t xml:space="preserve"> для профилактики и лечения острых и хронических заболеваниях печени (гепатиты,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гепатозы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, жировая дистрофия и дегенерация печени), желчного пузыря и желчевыводящих путей различного генеза. Комплексный состав препарата способствует регенерации клеток печени, улучшению ферментативной активности, нормализации всех видов обмена веществ, повышению аппетита и усвояемости у животных. Препарат эффективен при интоксикациях, отравлениях и состояниях обезвоживания организма; снижает побочные действия химиотерапевтических, противопаразитарных и других лекарственных средств, обладающих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гепатотоксичностью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Гепатолюкс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 улучшае</w:t>
      </w:r>
      <w:bookmarkStart w:id="0" w:name="_GoBack"/>
      <w:bookmarkEnd w:id="0"/>
      <w:r w:rsidRPr="00E453B4">
        <w:rPr>
          <w:rFonts w:ascii="Times New Roman" w:hAnsi="Times New Roman" w:cs="Times New Roman"/>
          <w:sz w:val="24"/>
          <w:szCs w:val="24"/>
        </w:rPr>
        <w:t xml:space="preserve">т свойства желчи и уменьшает риск образования желчных камней у </w:t>
      </w:r>
      <w:r w:rsidRPr="00E453B4">
        <w:rPr>
          <w:rFonts w:ascii="Times New Roman" w:hAnsi="Times New Roman" w:cs="Times New Roman"/>
          <w:sz w:val="24"/>
          <w:szCs w:val="24"/>
        </w:rPr>
        <w:lastRenderedPageBreak/>
        <w:t xml:space="preserve">животного. Применение препарата значительно снижает риск возникновения цирроза и рака печени у животных. Рекомендовано применение препарата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Гепатолюкс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суспензия</w:t>
      </w:r>
      <w:r w:rsidRPr="00E453B4">
        <w:rPr>
          <w:rFonts w:ascii="Times New Roman" w:hAnsi="Times New Roman" w:cs="Times New Roman"/>
          <w:sz w:val="24"/>
          <w:szCs w:val="24"/>
        </w:rPr>
        <w:t xml:space="preserve"> животным группы риска: кастрированным, стерилизованным, склонным к полноте, малоподвижным и пожилым.</w:t>
      </w:r>
    </w:p>
    <w:p w14:paraId="1BF8BC30" w14:textId="77777777" w:rsidR="00791303" w:rsidRPr="00E453B4" w:rsidRDefault="00791303" w:rsidP="00791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3B4">
        <w:rPr>
          <w:rFonts w:ascii="Times New Roman" w:hAnsi="Times New Roman" w:cs="Times New Roman"/>
          <w:b/>
          <w:sz w:val="24"/>
          <w:szCs w:val="24"/>
        </w:rPr>
        <w:t>Порядок применения</w:t>
      </w:r>
    </w:p>
    <w:p w14:paraId="30583110" w14:textId="77777777" w:rsidR="00791303" w:rsidRPr="00E453B4" w:rsidRDefault="00791303" w:rsidP="00791303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>Перед применением флакон с суспензией необходимо тщательно встряхнуть.</w:t>
      </w:r>
    </w:p>
    <w:p w14:paraId="425F126C" w14:textId="77777777" w:rsidR="00791303" w:rsidRPr="00E453B4" w:rsidRDefault="00791303" w:rsidP="0079130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Гепатолюкс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суспензию</w:t>
      </w:r>
      <w:r w:rsidRPr="00E45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собакам</w:t>
      </w:r>
      <w:r w:rsidRPr="00E453B4">
        <w:rPr>
          <w:rFonts w:ascii="Times New Roman" w:hAnsi="Times New Roman" w:cs="Times New Roman"/>
          <w:sz w:val="24"/>
          <w:szCs w:val="24"/>
        </w:rPr>
        <w:t xml:space="preserve"> задают внутрь индивидуально во время кормления в дозе 1 мл на 10 кг массы 2 раза в день или непосредственно вливают в защечную область при помощи шприца-дозатора. Курс применения составляют 20-30 дней, в зависимости от индивидуальных особенностей организма и характера течения заболевания. При необходимости по </w:t>
      </w:r>
      <w:proofErr w:type="gramStart"/>
      <w:r w:rsidRPr="00E453B4">
        <w:rPr>
          <w:rFonts w:ascii="Times New Roman" w:hAnsi="Times New Roman" w:cs="Times New Roman"/>
          <w:sz w:val="24"/>
          <w:szCs w:val="24"/>
        </w:rPr>
        <w:t>указания  ветеринарного</w:t>
      </w:r>
      <w:proofErr w:type="gramEnd"/>
      <w:r w:rsidRPr="00E453B4">
        <w:rPr>
          <w:rFonts w:ascii="Times New Roman" w:hAnsi="Times New Roman" w:cs="Times New Roman"/>
          <w:sz w:val="24"/>
          <w:szCs w:val="24"/>
        </w:rPr>
        <w:t xml:space="preserve"> врача прием препарата можно возобновить через 10 дней. При хроническом течении заболевания курс лечения повторяют несколько раз в год.</w:t>
      </w:r>
    </w:p>
    <w:p w14:paraId="54528A61" w14:textId="77777777" w:rsidR="00791303" w:rsidRPr="00E453B4" w:rsidRDefault="00791303" w:rsidP="00791303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Гепатолюкс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суспензии</w:t>
      </w:r>
      <w:r w:rsidRPr="00E453B4">
        <w:rPr>
          <w:rFonts w:ascii="Times New Roman" w:hAnsi="Times New Roman" w:cs="Times New Roman"/>
          <w:sz w:val="24"/>
          <w:szCs w:val="24"/>
        </w:rPr>
        <w:t xml:space="preserve"> не исключает использования других этиотропных и патогенетических лекарственных средств. Препарат назначают самостоятельно или в составе комплексной терапии. При пропуске одного или нескольких приемов средства его применение возобновляют в тех же дозах и по той же схеме. Особенностей действия лекарственного препарата при первом приеме и отмене не установлено.</w:t>
      </w:r>
    </w:p>
    <w:p w14:paraId="7D93A093" w14:textId="77777777" w:rsidR="00791303" w:rsidRPr="00E453B4" w:rsidRDefault="00791303" w:rsidP="007913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3B4">
        <w:rPr>
          <w:rFonts w:ascii="Times New Roman" w:hAnsi="Times New Roman" w:cs="Times New Roman"/>
          <w:b/>
          <w:sz w:val="24"/>
          <w:szCs w:val="24"/>
        </w:rPr>
        <w:t>Побочные явления и осложнения</w:t>
      </w:r>
    </w:p>
    <w:p w14:paraId="2384127A" w14:textId="77777777" w:rsidR="00791303" w:rsidRPr="00E453B4" w:rsidRDefault="00791303" w:rsidP="00791303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 xml:space="preserve">При применении препарата в соответствии с настоящей инструкцией не наблюдаются. </w:t>
      </w:r>
    </w:p>
    <w:p w14:paraId="1CC59B87" w14:textId="77777777" w:rsidR="00791303" w:rsidRPr="00E453B4" w:rsidRDefault="00791303" w:rsidP="00791303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>При индивидуальной непереносимости компонентов препарата и проявлении аллергических реакций, применение препарата следует прекратить.</w:t>
      </w:r>
    </w:p>
    <w:p w14:paraId="63EC4F46" w14:textId="77777777" w:rsidR="00791303" w:rsidRPr="00E453B4" w:rsidRDefault="00791303" w:rsidP="00791303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>В очень редких случаях, через несколько минут после применения препарата у животных возможно появление повышенного слюноотделения, которое самопроизвольно прекращается.</w:t>
      </w:r>
    </w:p>
    <w:p w14:paraId="7BAA2A56" w14:textId="77777777" w:rsidR="00791303" w:rsidRPr="00E453B4" w:rsidRDefault="00791303" w:rsidP="007913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3B4">
        <w:rPr>
          <w:rFonts w:ascii="Times New Roman" w:hAnsi="Times New Roman" w:cs="Times New Roman"/>
          <w:b/>
          <w:sz w:val="24"/>
          <w:szCs w:val="24"/>
        </w:rPr>
        <w:t>Противопоказания</w:t>
      </w:r>
    </w:p>
    <w:p w14:paraId="4A271363" w14:textId="77777777" w:rsidR="00791303" w:rsidRPr="00E453B4" w:rsidRDefault="00791303" w:rsidP="00791303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>Индивидуальная повышенная чувствительность к компонентам препарата.</w:t>
      </w:r>
    </w:p>
    <w:p w14:paraId="581F9767" w14:textId="77777777" w:rsidR="00791303" w:rsidRPr="00E453B4" w:rsidRDefault="00791303" w:rsidP="00791303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>Не рекомендуется назначать животным с печеночной энцефалопатией и тяжелой формой почечной недостаточности.</w:t>
      </w:r>
    </w:p>
    <w:p w14:paraId="4F002D79" w14:textId="77777777" w:rsidR="00791303" w:rsidRPr="00E453B4" w:rsidRDefault="00791303" w:rsidP="007913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3B4">
        <w:rPr>
          <w:rFonts w:ascii="Times New Roman" w:hAnsi="Times New Roman" w:cs="Times New Roman"/>
          <w:b/>
          <w:sz w:val="24"/>
          <w:szCs w:val="24"/>
        </w:rPr>
        <w:t>Передозировка</w:t>
      </w:r>
    </w:p>
    <w:p w14:paraId="54DD59BE" w14:textId="77777777" w:rsidR="00791303" w:rsidRPr="00E453B4" w:rsidRDefault="00791303" w:rsidP="00791303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>Симптомы передозировки у животных не выявлены.</w:t>
      </w:r>
    </w:p>
    <w:p w14:paraId="4AC89F3F" w14:textId="77777777" w:rsidR="00791303" w:rsidRPr="00E453B4" w:rsidRDefault="00791303" w:rsidP="007913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3B4">
        <w:rPr>
          <w:rFonts w:ascii="Times New Roman" w:hAnsi="Times New Roman" w:cs="Times New Roman"/>
          <w:b/>
          <w:sz w:val="24"/>
          <w:szCs w:val="24"/>
        </w:rPr>
        <w:t>Взаимодействие с другими лекарственными средствами</w:t>
      </w:r>
    </w:p>
    <w:p w14:paraId="0D9209D5" w14:textId="77777777" w:rsidR="00791303" w:rsidRPr="00E453B4" w:rsidRDefault="00791303" w:rsidP="007913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Препарат</w:t>
      </w:r>
      <w:r w:rsidRPr="00E453B4">
        <w:rPr>
          <w:rFonts w:ascii="Times New Roman" w:hAnsi="Times New Roman" w:cs="Times New Roman"/>
          <w:sz w:val="24"/>
          <w:szCs w:val="24"/>
        </w:rPr>
        <w:t xml:space="preserve"> совместим с лекарственными средствами и кормовыми добавками.</w:t>
      </w:r>
    </w:p>
    <w:p w14:paraId="368FF0F8" w14:textId="77777777" w:rsidR="00791303" w:rsidRPr="00E453B4" w:rsidRDefault="00791303" w:rsidP="007913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3B4">
        <w:rPr>
          <w:rFonts w:ascii="Times New Roman" w:hAnsi="Times New Roman" w:cs="Times New Roman"/>
          <w:b/>
          <w:sz w:val="24"/>
          <w:szCs w:val="24"/>
        </w:rPr>
        <w:t>Применение при беременности и в период лактации</w:t>
      </w:r>
    </w:p>
    <w:p w14:paraId="4B1C2399" w14:textId="77777777" w:rsidR="00791303" w:rsidRPr="00E453B4" w:rsidRDefault="00791303" w:rsidP="00791303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 xml:space="preserve">Применение беременным,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лактирующим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 и животным до года осуществляется только под наблюдением ветеринарного врача.</w:t>
      </w:r>
    </w:p>
    <w:p w14:paraId="118E85B1" w14:textId="77777777" w:rsidR="00791303" w:rsidRPr="00E453B4" w:rsidRDefault="00791303" w:rsidP="007913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3B4">
        <w:rPr>
          <w:rFonts w:ascii="Times New Roman" w:hAnsi="Times New Roman" w:cs="Times New Roman"/>
          <w:b/>
          <w:sz w:val="24"/>
          <w:szCs w:val="24"/>
        </w:rPr>
        <w:t>Особые указания</w:t>
      </w:r>
    </w:p>
    <w:p w14:paraId="23AB9A5D" w14:textId="77777777" w:rsidR="00791303" w:rsidRPr="00E453B4" w:rsidRDefault="00791303" w:rsidP="00791303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>Не предназначен для применения продуктивным животным.</w:t>
      </w:r>
    </w:p>
    <w:p w14:paraId="094DAB12" w14:textId="77777777" w:rsidR="00791303" w:rsidRPr="00E453B4" w:rsidRDefault="00791303" w:rsidP="00791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3B4">
        <w:rPr>
          <w:rFonts w:ascii="Times New Roman" w:hAnsi="Times New Roman" w:cs="Times New Roman"/>
          <w:b/>
          <w:sz w:val="24"/>
          <w:szCs w:val="24"/>
        </w:rPr>
        <w:lastRenderedPageBreak/>
        <w:t>Меры личной профилактики</w:t>
      </w:r>
    </w:p>
    <w:p w14:paraId="03A87762" w14:textId="77777777" w:rsidR="00791303" w:rsidRPr="00E453B4" w:rsidRDefault="00791303" w:rsidP="00791303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 xml:space="preserve">При работе с </w:t>
      </w:r>
      <w:r>
        <w:rPr>
          <w:rFonts w:ascii="Times New Roman" w:hAnsi="Times New Roman" w:cs="Times New Roman"/>
          <w:sz w:val="24"/>
          <w:szCs w:val="24"/>
        </w:rPr>
        <w:t>препаратом</w:t>
      </w:r>
      <w:r w:rsidRPr="00E453B4">
        <w:rPr>
          <w:rFonts w:ascii="Times New Roman" w:hAnsi="Times New Roman" w:cs="Times New Roman"/>
          <w:sz w:val="24"/>
          <w:szCs w:val="24"/>
        </w:rPr>
        <w:t xml:space="preserve"> следует соблюдать общие правила личной гигиены и техники безопасности, предусмотренные при работе с лекарственными препаратами. Во время работы не разрешается курить, пить и принимать пищу. По окончании работы следует тщательно вымыть руки теплой водой с мылом. Людям с гиперчувствительностью к компонентам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Гепатолюкс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суспензия</w:t>
      </w:r>
      <w:r w:rsidRPr="00E453B4">
        <w:rPr>
          <w:rFonts w:ascii="Times New Roman" w:hAnsi="Times New Roman" w:cs="Times New Roman"/>
          <w:sz w:val="24"/>
          <w:szCs w:val="24"/>
        </w:rPr>
        <w:t xml:space="preserve"> следует избегать прямого контакта с препаратом. В случае появления аллергических реакций или при случайном попадании препарата внутрь необходимо обратиться в медицинское учреждение. Пустые флаконы из-под препарата утилизируют с бытовыми отходами. Неиспользованный препарат утилизируют в соответствии с требованиями законодательства.  Не использовать для бытовых целей пустые флаконы. Применять препарат только по назначению.</w:t>
      </w:r>
    </w:p>
    <w:p w14:paraId="70F893A9" w14:textId="77777777" w:rsidR="00791303" w:rsidRPr="00E453B4" w:rsidRDefault="00791303" w:rsidP="007913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3B4">
        <w:rPr>
          <w:rFonts w:ascii="Times New Roman" w:hAnsi="Times New Roman" w:cs="Times New Roman"/>
          <w:b/>
          <w:sz w:val="24"/>
          <w:szCs w:val="24"/>
        </w:rPr>
        <w:t>Условия хранения</w:t>
      </w:r>
    </w:p>
    <w:p w14:paraId="0B45A8EB" w14:textId="77777777" w:rsidR="00791303" w:rsidRPr="00E453B4" w:rsidRDefault="00791303" w:rsidP="00791303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 xml:space="preserve">Хранить в закрытой упаковке производителя в сухом, защищенном от прямых солнечных лучей месте отдельно от пищевых продуктов и кормов, при температуре от 0 до 25°С. Срок годности при соблюдении условий хранения – 36 месяцев от даты производства. Дата производства указана на упаковке. После вскрытия флакона - не более 20 суток в сухом и темном месте при температуре от 6-8°С.  Не использовать по истечении срока годности.  </w:t>
      </w:r>
    </w:p>
    <w:p w14:paraId="0A6DEFDA" w14:textId="77777777" w:rsidR="00791303" w:rsidRPr="00E453B4" w:rsidRDefault="00791303" w:rsidP="00791303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>Хранить в недоступном для детей месте!</w:t>
      </w:r>
    </w:p>
    <w:p w14:paraId="369745AE" w14:textId="77777777" w:rsidR="00791303" w:rsidRPr="00E453B4" w:rsidRDefault="00791303" w:rsidP="00791303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>Отпускается без рецепта ветеринарного врача.</w:t>
      </w:r>
    </w:p>
    <w:p w14:paraId="6458E2A0" w14:textId="77777777" w:rsidR="00791303" w:rsidRPr="00E453B4" w:rsidRDefault="00791303" w:rsidP="007913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FAF9BA" w14:textId="77777777" w:rsidR="00791303" w:rsidRPr="00E453B4" w:rsidRDefault="00791303" w:rsidP="007913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4B3A18" w14:textId="77777777" w:rsidR="00791303" w:rsidRPr="00E453B4" w:rsidRDefault="00791303" w:rsidP="007913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00AFA5" w14:textId="77777777" w:rsidR="00791303" w:rsidRPr="00E453B4" w:rsidRDefault="00791303" w:rsidP="00791303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>Производитель: АО «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>», РФ</w:t>
      </w:r>
    </w:p>
    <w:p w14:paraId="615F0968" w14:textId="77777777" w:rsidR="00791303" w:rsidRPr="00E453B4" w:rsidRDefault="00791303" w:rsidP="00791303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>тел./факс: +7 (495) 607-50-34, +7 (495) 607-67-81.</w:t>
      </w:r>
    </w:p>
    <w:p w14:paraId="15F8CB07" w14:textId="77777777" w:rsidR="00791303" w:rsidRPr="00E453B4" w:rsidRDefault="00791303" w:rsidP="00791303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 xml:space="preserve">Адрес производства: РФ, Московская обл., г. Балашиха, </w:t>
      </w:r>
      <w:proofErr w:type="spellStart"/>
      <w:r w:rsidRPr="00E453B4">
        <w:rPr>
          <w:rFonts w:ascii="Times New Roman" w:hAnsi="Times New Roman" w:cs="Times New Roman"/>
          <w:sz w:val="24"/>
          <w:szCs w:val="24"/>
        </w:rPr>
        <w:t>Полтевское</w:t>
      </w:r>
      <w:proofErr w:type="spellEnd"/>
      <w:r w:rsidRPr="00E453B4">
        <w:rPr>
          <w:rFonts w:ascii="Times New Roman" w:hAnsi="Times New Roman" w:cs="Times New Roman"/>
          <w:sz w:val="24"/>
          <w:szCs w:val="24"/>
        </w:rPr>
        <w:t xml:space="preserve"> шоссе, владение 4</w:t>
      </w:r>
    </w:p>
    <w:p w14:paraId="049182C5" w14:textId="77777777" w:rsidR="00791303" w:rsidRPr="00E453B4" w:rsidRDefault="00791303" w:rsidP="00791303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>www.agrobioprom.com</w:t>
      </w:r>
    </w:p>
    <w:p w14:paraId="5D526E05" w14:textId="77777777" w:rsidR="00791303" w:rsidRPr="00E453B4" w:rsidRDefault="00791303" w:rsidP="00791303">
      <w:pPr>
        <w:jc w:val="both"/>
        <w:rPr>
          <w:rFonts w:ascii="Times New Roman" w:hAnsi="Times New Roman" w:cs="Times New Roman"/>
          <w:sz w:val="24"/>
          <w:szCs w:val="24"/>
        </w:rPr>
      </w:pPr>
      <w:r w:rsidRPr="00E453B4">
        <w:rPr>
          <w:rFonts w:ascii="Times New Roman" w:hAnsi="Times New Roman" w:cs="Times New Roman"/>
          <w:sz w:val="24"/>
          <w:szCs w:val="24"/>
        </w:rPr>
        <w:t>1 мл/10 кг веса = 1 доза</w:t>
      </w:r>
    </w:p>
    <w:p w14:paraId="4381D90F" w14:textId="77777777" w:rsidR="00A760CA" w:rsidRDefault="00A760CA"/>
    <w:sectPr w:rsidR="00A7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0CD"/>
    <w:rsid w:val="007070CD"/>
    <w:rsid w:val="00791303"/>
    <w:rsid w:val="00A7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3B4B3"/>
  <w15:chartTrackingRefBased/>
  <w15:docId w15:val="{00C19DD1-3753-4729-ABDC-BCBC8EC2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1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1422</Words>
  <Characters>8112</Characters>
  <Application>Microsoft Office Word</Application>
  <DocSecurity>0</DocSecurity>
  <Lines>67</Lines>
  <Paragraphs>19</Paragraphs>
  <ScaleCrop>false</ScaleCrop>
  <Company/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2020-03-06T08:31:00Z</dcterms:created>
  <dcterms:modified xsi:type="dcterms:W3CDTF">2020-03-06T08:33:00Z</dcterms:modified>
</cp:coreProperties>
</file>